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7DFE8" w14:textId="7AB2DCA5" w:rsidR="00AB0740" w:rsidRPr="00271BFD" w:rsidRDefault="00AB0740" w:rsidP="00271BFD">
      <w:pPr>
        <w:autoSpaceDE w:val="0"/>
        <w:autoSpaceDN w:val="0"/>
        <w:adjustRightInd w:val="0"/>
        <w:spacing w:line="480" w:lineRule="auto"/>
        <w:jc w:val="center"/>
        <w:rPr>
          <w:b/>
          <w:bCs/>
          <w:color w:val="000000" w:themeColor="text1"/>
        </w:rPr>
      </w:pPr>
      <w:r w:rsidRPr="00271BFD">
        <w:rPr>
          <w:b/>
          <w:bCs/>
          <w:color w:val="000000" w:themeColor="text1"/>
        </w:rPr>
        <w:t>Анализ различных методов аппаратного расширения верхней челюсти у пациентов с трансверзальными аномалиями челюстей</w:t>
      </w:r>
    </w:p>
    <w:p w14:paraId="5B7B3456" w14:textId="7487E1B6" w:rsidR="00EB4488" w:rsidRPr="00271BFD" w:rsidRDefault="00EB4488" w:rsidP="00271BFD">
      <w:pPr>
        <w:autoSpaceDE w:val="0"/>
        <w:autoSpaceDN w:val="0"/>
        <w:adjustRightInd w:val="0"/>
        <w:spacing w:line="480" w:lineRule="auto"/>
        <w:jc w:val="center"/>
        <w:rPr>
          <w:b/>
          <w:bCs/>
          <w:color w:val="000000" w:themeColor="text1"/>
        </w:rPr>
      </w:pPr>
      <w:r w:rsidRPr="00271BFD">
        <w:rPr>
          <w:b/>
          <w:bCs/>
          <w:color w:val="000000" w:themeColor="text1"/>
        </w:rPr>
        <w:t>асп.Голомаздин П.О.,</w:t>
      </w:r>
      <w:r w:rsidR="00577A64" w:rsidRPr="00271BFD">
        <w:rPr>
          <w:b/>
          <w:bCs/>
          <w:color w:val="000000" w:themeColor="text1"/>
        </w:rPr>
        <w:t xml:space="preserve"> </w:t>
      </w:r>
      <w:r w:rsidRPr="00271BFD">
        <w:rPr>
          <w:b/>
          <w:bCs/>
          <w:color w:val="000000" w:themeColor="text1"/>
        </w:rPr>
        <w:t>проф.,д.м.н.,Дробышев А.Ю.,</w:t>
      </w:r>
      <w:r w:rsidR="00577A64" w:rsidRPr="00271BFD">
        <w:rPr>
          <w:b/>
          <w:bCs/>
          <w:color w:val="000000" w:themeColor="text1"/>
        </w:rPr>
        <w:t xml:space="preserve"> </w:t>
      </w:r>
      <w:r w:rsidRPr="00271BFD">
        <w:rPr>
          <w:b/>
          <w:bCs/>
          <w:color w:val="000000" w:themeColor="text1"/>
        </w:rPr>
        <w:t>асс.,к.м.н.,Меликов Э.А.</w:t>
      </w:r>
    </w:p>
    <w:p w14:paraId="0F376366" w14:textId="7DC5E18D" w:rsidR="00AB0740" w:rsidRPr="00271BFD" w:rsidRDefault="00AB0740" w:rsidP="00271BFD">
      <w:pPr>
        <w:autoSpaceDE w:val="0"/>
        <w:autoSpaceDN w:val="0"/>
        <w:adjustRightInd w:val="0"/>
        <w:spacing w:line="480" w:lineRule="auto"/>
        <w:jc w:val="both"/>
        <w:rPr>
          <w:color w:val="000000"/>
        </w:rPr>
      </w:pPr>
      <w:r w:rsidRPr="00271BFD">
        <w:rPr>
          <w:b/>
          <w:bCs/>
          <w:color w:val="000000"/>
        </w:rPr>
        <w:t>Введение</w:t>
      </w:r>
    </w:p>
    <w:p w14:paraId="5AED0C7B" w14:textId="379017AF" w:rsidR="00AB0740" w:rsidRPr="00271BFD" w:rsidRDefault="00AB0740" w:rsidP="00271BFD">
      <w:pPr>
        <w:autoSpaceDE w:val="0"/>
        <w:autoSpaceDN w:val="0"/>
        <w:adjustRightInd w:val="0"/>
        <w:spacing w:after="30" w:line="480" w:lineRule="auto"/>
        <w:jc w:val="both"/>
        <w:rPr>
          <w:color w:val="000000"/>
        </w:rPr>
      </w:pPr>
      <w:r w:rsidRPr="00271BFD">
        <w:rPr>
          <w:color w:val="000000"/>
        </w:rPr>
        <w:t>Трансверзальные аномалии прикуса являются компонентами зубочелюстно-лицевых аномалий, которые встречаются у пациентов от 8 до 18% всех клинических случаев (Арсенина О.И. соавт. 2019; Попова, Н.В. и соавт. 2019; Neyt, N.M., Mommaerts, M.Y., etal., 2002; AndrucioliM.C.D., MatsumotoM.A.N., 2020). При планировании лечения пациентов с трансверзальными аномалиями необходимо учитывать биомеханику расширения зубных рядов. Большинство врачей-ортодонтов пренебрегают хирургическим расширением верхней челюсти у взрослых пациентов и достигают смыкания зубных рядов при сужении верхней челюсти посредством компенсации за счет вестибулярного наклона зубов. Показаниями к расширению верхней челюсти являются: сужение верхней челюсти более 4 мм, завершение оссификации срединно-небного шва.</w:t>
      </w:r>
      <w:r w:rsidR="00577A64" w:rsidRPr="00271BFD">
        <w:rPr>
          <w:color w:val="000000"/>
        </w:rPr>
        <w:t xml:space="preserve"> </w:t>
      </w:r>
      <w:r w:rsidRPr="00271BFD">
        <w:rPr>
          <w:color w:val="1A1A1A"/>
        </w:rPr>
        <w:t>Варианты лечения пациентов с трансверзальными аномалиями верхней челюсти зависит от стадии созревания срединно-небного шва, который может варьироваться в зависимости от возраста пациента. Поэтому созревание срединного небного шва имеет решающее значение в выборе</w:t>
      </w:r>
      <w:r w:rsidRPr="00271BFD">
        <w:rPr>
          <w:color w:val="000000"/>
        </w:rPr>
        <w:t xml:space="preserve"> методики расширения верхней челюсти и конструкции дистракционного аппарата для конкретного пациента с целью получения желаемого эффекта и стабильного результата</w:t>
      </w:r>
      <w:r w:rsidRPr="00271BFD">
        <w:rPr>
          <w:color w:val="1A1A1A"/>
        </w:rPr>
        <w:t>.</w:t>
      </w:r>
      <w:r w:rsidR="00CF2946" w:rsidRPr="00271BFD">
        <w:rPr>
          <w:color w:val="1A1A1A"/>
        </w:rPr>
        <w:t xml:space="preserve"> </w:t>
      </w:r>
      <w:r w:rsidRPr="00271BFD">
        <w:rPr>
          <w:color w:val="1A1A1A"/>
        </w:rPr>
        <w:t>Применяются различные методики аппаратного расширения верхней челюсти :(RME)-</w:t>
      </w:r>
      <w:r w:rsidR="003F5BC1" w:rsidRPr="00271BFD">
        <w:rPr>
          <w:color w:val="1A1A1A"/>
        </w:rPr>
        <w:t xml:space="preserve">нехирургическое </w:t>
      </w:r>
      <w:r w:rsidRPr="00271BFD">
        <w:rPr>
          <w:color w:val="1A1A1A"/>
        </w:rPr>
        <w:t xml:space="preserve">быстрое </w:t>
      </w:r>
      <w:r w:rsidR="003F5BC1" w:rsidRPr="00271BFD">
        <w:rPr>
          <w:color w:val="1A1A1A"/>
        </w:rPr>
        <w:t>небное</w:t>
      </w:r>
      <w:r w:rsidRPr="00271BFD">
        <w:rPr>
          <w:color w:val="1A1A1A"/>
        </w:rPr>
        <w:t xml:space="preserve"> расширение при помощи аппаратов с опорой на зубы.</w:t>
      </w:r>
      <w:r w:rsidR="00577A64" w:rsidRPr="00271BFD">
        <w:rPr>
          <w:color w:val="1A1A1A"/>
        </w:rPr>
        <w:t xml:space="preserve"> </w:t>
      </w:r>
      <w:r w:rsidRPr="00271BFD">
        <w:rPr>
          <w:color w:val="1A1A1A"/>
        </w:rPr>
        <w:t>(</w:t>
      </w:r>
      <w:r w:rsidRPr="00271BFD">
        <w:rPr>
          <w:color w:val="000000"/>
        </w:rPr>
        <w:t>SARPE)-</w:t>
      </w:r>
      <w:r w:rsidR="00577A64" w:rsidRPr="00271BFD">
        <w:rPr>
          <w:color w:val="000000"/>
        </w:rPr>
        <w:t>быстрое небное расширение при помощи дистракционного аппарата</w:t>
      </w:r>
      <w:r w:rsidRPr="00271BFD">
        <w:rPr>
          <w:color w:val="000000"/>
        </w:rPr>
        <w:t>.</w:t>
      </w:r>
      <w:r w:rsidR="00577A64" w:rsidRPr="00271BFD">
        <w:rPr>
          <w:color w:val="000000"/>
        </w:rPr>
        <w:t xml:space="preserve"> </w:t>
      </w:r>
      <w:r w:rsidRPr="00271BFD">
        <w:rPr>
          <w:color w:val="000000"/>
        </w:rPr>
        <w:t xml:space="preserve">(MARPE)-быстрое </w:t>
      </w:r>
      <w:r w:rsidRPr="00271BFD">
        <w:rPr>
          <w:color w:val="000000"/>
        </w:rPr>
        <w:lastRenderedPageBreak/>
        <w:t>небное расширение с опорой на микро-имплантаты.</w:t>
      </w:r>
      <w:r w:rsidR="00577A64" w:rsidRPr="00271BFD">
        <w:rPr>
          <w:color w:val="000000"/>
        </w:rPr>
        <w:t xml:space="preserve"> </w:t>
      </w:r>
      <w:r w:rsidRPr="00271BFD">
        <w:rPr>
          <w:color w:val="000000"/>
        </w:rPr>
        <w:t>В раннем возрасте используют два основных метода расширения верхней челюсти, (R</w:t>
      </w:r>
      <w:r w:rsidR="006F2200" w:rsidRPr="00271BFD">
        <w:rPr>
          <w:color w:val="000000"/>
          <w:lang w:val="en-US"/>
        </w:rPr>
        <w:t>M</w:t>
      </w:r>
      <w:r w:rsidRPr="00271BFD">
        <w:rPr>
          <w:color w:val="000000"/>
        </w:rPr>
        <w:t>E) и (MARPE),так как они наиболее эффективны на моменте стадии созревания срединно-небного шва.</w:t>
      </w:r>
      <w:r w:rsidRPr="00271BFD">
        <w:rPr>
          <w:b/>
          <w:bCs/>
          <w:color w:val="000000"/>
        </w:rPr>
        <w:t> </w:t>
      </w:r>
      <w:r w:rsidRPr="00271BFD">
        <w:rPr>
          <w:color w:val="000000"/>
        </w:rPr>
        <w:t>В ходе исследования было доказано, что дистракция срединно-небного шва наблюдалось у 90% и 95% пациентов в группах (R</w:t>
      </w:r>
      <w:r w:rsidR="006F2200" w:rsidRPr="00271BFD">
        <w:rPr>
          <w:color w:val="000000"/>
          <w:lang w:val="en-US"/>
        </w:rPr>
        <w:t>M</w:t>
      </w:r>
      <w:r w:rsidRPr="00271BFD">
        <w:rPr>
          <w:color w:val="000000"/>
        </w:rPr>
        <w:t xml:space="preserve">E) и (MARPE). Данные группы продемонстрировали </w:t>
      </w:r>
      <w:r w:rsidR="00CC2018" w:rsidRPr="00271BFD">
        <w:rPr>
          <w:color w:val="000000"/>
          <w:lang w:val="en-US"/>
        </w:rPr>
        <w:t>V</w:t>
      </w:r>
      <w:r w:rsidR="00CC2018" w:rsidRPr="00271BFD">
        <w:rPr>
          <w:color w:val="000000"/>
        </w:rPr>
        <w:t>-</w:t>
      </w:r>
      <w:r w:rsidR="00CC2018" w:rsidRPr="00271BFD">
        <w:rPr>
          <w:color w:val="000000"/>
          <w:lang w:val="en-US"/>
        </w:rPr>
        <w:t>shape</w:t>
      </w:r>
      <w:r w:rsidRPr="00271BFD">
        <w:rPr>
          <w:color w:val="000000"/>
        </w:rPr>
        <w:t xml:space="preserve"> расширение базального отдела челюстных костей. </w:t>
      </w:r>
      <w:r w:rsidR="00434119" w:rsidRPr="00271BFD">
        <w:rPr>
          <w:color w:val="000000"/>
        </w:rPr>
        <w:t>При одинаковых количествах расширения</w:t>
      </w:r>
      <w:r w:rsidRPr="00271BFD">
        <w:rPr>
          <w:color w:val="000000"/>
        </w:rPr>
        <w:t xml:space="preserve"> группа </w:t>
      </w:r>
      <w:r w:rsidR="006F2200" w:rsidRPr="00271BFD">
        <w:rPr>
          <w:color w:val="000000"/>
        </w:rPr>
        <w:t>(</w:t>
      </w:r>
      <w:r w:rsidRPr="00271BFD">
        <w:rPr>
          <w:color w:val="000000"/>
        </w:rPr>
        <w:t>MARPE</w:t>
      </w:r>
      <w:r w:rsidR="006F2200" w:rsidRPr="00271BFD">
        <w:rPr>
          <w:color w:val="000000"/>
        </w:rPr>
        <w:t>)</w:t>
      </w:r>
      <w:r w:rsidRPr="00271BFD">
        <w:rPr>
          <w:color w:val="000000"/>
        </w:rPr>
        <w:t xml:space="preserve"> показала меньшее снижение скелетных, дентоальвеолярных и пародонтальных изменений, с помощью мини-имплантатов способствовала поддержанию базального отдела челюстных костей верхней челюсти.</w:t>
      </w:r>
      <w:r w:rsidR="00434119" w:rsidRPr="00271BFD">
        <w:rPr>
          <w:color w:val="000000"/>
        </w:rPr>
        <w:t xml:space="preserve"> </w:t>
      </w:r>
      <w:r w:rsidRPr="00271BFD">
        <w:rPr>
          <w:color w:val="000000"/>
        </w:rPr>
        <w:t xml:space="preserve">Так же сравнивали </w:t>
      </w:r>
      <w:r w:rsidR="006F2200" w:rsidRPr="00271BFD">
        <w:rPr>
          <w:color w:val="000000"/>
        </w:rPr>
        <w:t>(</w:t>
      </w:r>
      <w:r w:rsidRPr="00271BFD">
        <w:rPr>
          <w:color w:val="000000"/>
        </w:rPr>
        <w:t>R</w:t>
      </w:r>
      <w:r w:rsidR="006F2200" w:rsidRPr="00271BFD">
        <w:rPr>
          <w:color w:val="000000"/>
          <w:lang w:val="en-US"/>
        </w:rPr>
        <w:t>M</w:t>
      </w:r>
      <w:r w:rsidRPr="00271BFD">
        <w:rPr>
          <w:color w:val="000000"/>
        </w:rPr>
        <w:t>E</w:t>
      </w:r>
      <w:r w:rsidR="006F2200" w:rsidRPr="00271BFD">
        <w:rPr>
          <w:color w:val="000000"/>
        </w:rPr>
        <w:t>)</w:t>
      </w:r>
      <w:r w:rsidRPr="00271BFD">
        <w:rPr>
          <w:color w:val="000000"/>
        </w:rPr>
        <w:t xml:space="preserve"> и </w:t>
      </w:r>
      <w:r w:rsidR="006F2200" w:rsidRPr="00271BFD">
        <w:rPr>
          <w:color w:val="000000"/>
        </w:rPr>
        <w:t>(</w:t>
      </w:r>
      <w:r w:rsidRPr="00271BFD">
        <w:rPr>
          <w:color w:val="000000"/>
        </w:rPr>
        <w:t>SARME</w:t>
      </w:r>
      <w:r w:rsidR="006F2200" w:rsidRPr="00271BFD">
        <w:rPr>
          <w:color w:val="000000"/>
        </w:rPr>
        <w:t>)</w:t>
      </w:r>
      <w:r w:rsidRPr="00271BFD">
        <w:rPr>
          <w:color w:val="000000"/>
        </w:rPr>
        <w:t>, автор отмечает,</w:t>
      </w:r>
      <w:r w:rsidR="00577A64" w:rsidRPr="00271BFD">
        <w:rPr>
          <w:color w:val="000000"/>
        </w:rPr>
        <w:t xml:space="preserve"> </w:t>
      </w:r>
      <w:r w:rsidRPr="00271BFD">
        <w:rPr>
          <w:color w:val="000000"/>
        </w:rPr>
        <w:t xml:space="preserve">что </w:t>
      </w:r>
      <w:r w:rsidR="006F2200" w:rsidRPr="00271BFD">
        <w:rPr>
          <w:color w:val="000000"/>
        </w:rPr>
        <w:t xml:space="preserve">нет </w:t>
      </w:r>
      <w:r w:rsidRPr="00271BFD">
        <w:rPr>
          <w:color w:val="000000"/>
        </w:rPr>
        <w:t>о</w:t>
      </w:r>
      <w:r w:rsidR="00434119" w:rsidRPr="00271BFD">
        <w:rPr>
          <w:color w:val="000000"/>
        </w:rPr>
        <w:t>со</w:t>
      </w:r>
      <w:r w:rsidRPr="00271BFD">
        <w:rPr>
          <w:color w:val="000000"/>
        </w:rPr>
        <w:t>бенных различий между расширением верхней челюсти с опорой на зубы или костные структуры. В случаях у взрослых пациентов с завершенным формированием срединно-небного шва при использовании только ортодонтических аппаратов с опорой на зубы возникают нежелательные побочные эффекты, такие как: чрезмерный̆ вестибулярный̆ наклон боковых зубов, травма слизистой̆ оболочки неба несъемным аппаратом, множественные рецессий десны, резорбция корней̆ зубов. В том числе и резорбция костных структур в апикальной области центральных зубов, и ухудшение носового дыхание за счет гипертрофии слизистой оболочки дна полости носа.</w:t>
      </w:r>
    </w:p>
    <w:p w14:paraId="5304AF03" w14:textId="77777777" w:rsidR="00AB0740" w:rsidRPr="00271BFD" w:rsidRDefault="00AB0740" w:rsidP="00271BFD">
      <w:pPr>
        <w:autoSpaceDE w:val="0"/>
        <w:autoSpaceDN w:val="0"/>
        <w:adjustRightInd w:val="0"/>
        <w:spacing w:after="30" w:line="480" w:lineRule="auto"/>
        <w:jc w:val="both"/>
        <w:rPr>
          <w:b/>
          <w:bCs/>
          <w:color w:val="000000"/>
        </w:rPr>
      </w:pPr>
      <w:r w:rsidRPr="00271BFD">
        <w:rPr>
          <w:b/>
          <w:bCs/>
          <w:color w:val="000000"/>
        </w:rPr>
        <w:t>Цель исследования</w:t>
      </w:r>
    </w:p>
    <w:p w14:paraId="75BAE83E" w14:textId="7759BFDE" w:rsidR="00AB0740" w:rsidRPr="00271BFD" w:rsidRDefault="00FC15F8" w:rsidP="00271BFD">
      <w:pPr>
        <w:autoSpaceDE w:val="0"/>
        <w:autoSpaceDN w:val="0"/>
        <w:adjustRightInd w:val="0"/>
        <w:spacing w:after="30" w:line="480" w:lineRule="auto"/>
        <w:jc w:val="both"/>
        <w:rPr>
          <w:color w:val="000000"/>
        </w:rPr>
      </w:pPr>
      <w:r w:rsidRPr="00271BFD">
        <w:rPr>
          <w:color w:val="000000"/>
        </w:rPr>
        <w:t xml:space="preserve">Целью исследования является оптимизация показаний к различным методикам расширения верхней челюсти и повышение эффективности </w:t>
      </w:r>
      <w:r w:rsidR="006F2200" w:rsidRPr="00271BFD">
        <w:rPr>
          <w:color w:val="000000"/>
        </w:rPr>
        <w:t>диагностики лечения</w:t>
      </w:r>
    </w:p>
    <w:p w14:paraId="45FAFEAE" w14:textId="5D189773" w:rsidR="00AB0740" w:rsidRPr="00D47842" w:rsidRDefault="00AB0740" w:rsidP="00D47842">
      <w:pPr>
        <w:spacing w:line="480" w:lineRule="auto"/>
        <w:ind w:firstLine="708"/>
        <w:jc w:val="both"/>
      </w:pPr>
      <w:r w:rsidRPr="00271BFD">
        <w:rPr>
          <w:b/>
          <w:bCs/>
          <w:color w:val="000000"/>
        </w:rPr>
        <w:t>Материалы и методы</w:t>
      </w:r>
      <w:r w:rsidR="00271BFD" w:rsidRPr="00271BFD">
        <w:rPr>
          <w:b/>
          <w:bCs/>
          <w:color w:val="000000"/>
        </w:rPr>
        <w:tab/>
      </w:r>
      <w:r w:rsidRPr="00271BFD">
        <w:rPr>
          <w:b/>
          <w:bCs/>
          <w:color w:val="000000"/>
        </w:rPr>
        <w:t xml:space="preserve"> </w:t>
      </w:r>
      <w:r w:rsidR="00271BFD" w:rsidRPr="00271BFD">
        <w:rPr>
          <w:b/>
          <w:bCs/>
          <w:color w:val="000000"/>
        </w:rPr>
        <w:br/>
      </w:r>
      <w:r w:rsidR="00D47842">
        <w:t xml:space="preserve">На кафедре </w:t>
      </w:r>
      <w:r w:rsidR="00D47842" w:rsidRPr="00D47842">
        <w:t xml:space="preserve">ФГБОУ ВО «Российский университет медицины», Минздрав России, </w:t>
      </w:r>
      <w:r w:rsidR="00D47842" w:rsidRPr="00D47842">
        <w:lastRenderedPageBreak/>
        <w:t>город Москва, НОИС Клиника «ЦС и ЧЛХ»</w:t>
      </w:r>
      <w:r w:rsidR="00D47842">
        <w:t xml:space="preserve">, </w:t>
      </w:r>
      <w:r w:rsidR="00D47842" w:rsidRPr="00D47842">
        <w:t xml:space="preserve">проходило </w:t>
      </w:r>
      <w:r w:rsidR="00D47842">
        <w:t xml:space="preserve">исследование с участием </w:t>
      </w:r>
      <w:r w:rsidR="00A2460D" w:rsidRPr="00A2460D">
        <w:t>8</w:t>
      </w:r>
      <w:r w:rsidR="00D47842">
        <w:t xml:space="preserve">0 пациентов. </w:t>
      </w:r>
      <w:r w:rsidRPr="00271BFD">
        <w:rPr>
          <w:color w:val="000000"/>
        </w:rPr>
        <w:t>Критериями отбора пациентов являются возраст от 1</w:t>
      </w:r>
      <w:r w:rsidR="00AA4499" w:rsidRPr="00271BFD">
        <w:rPr>
          <w:color w:val="000000"/>
        </w:rPr>
        <w:t>8</w:t>
      </w:r>
      <w:r w:rsidRPr="00271BFD">
        <w:rPr>
          <w:color w:val="000000"/>
        </w:rPr>
        <w:t>-4</w:t>
      </w:r>
      <w:r w:rsidR="00AA4499" w:rsidRPr="00271BFD">
        <w:rPr>
          <w:color w:val="000000"/>
        </w:rPr>
        <w:t>4</w:t>
      </w:r>
      <w:r w:rsidRPr="00271BFD">
        <w:rPr>
          <w:color w:val="000000"/>
        </w:rPr>
        <w:t xml:space="preserve"> </w:t>
      </w:r>
      <w:r w:rsidR="00EB4488" w:rsidRPr="00271BFD">
        <w:rPr>
          <w:color w:val="000000"/>
        </w:rPr>
        <w:t>лет с</w:t>
      </w:r>
      <w:r w:rsidRPr="00271BFD">
        <w:rPr>
          <w:color w:val="000000"/>
        </w:rPr>
        <w:t xml:space="preserve"> сужением верней челюсти и перекрестной окклюзией. </w:t>
      </w:r>
      <w:r w:rsidR="00EB4488" w:rsidRPr="00271BFD">
        <w:rPr>
          <w:color w:val="000000"/>
        </w:rPr>
        <w:t>Пациент</w:t>
      </w:r>
      <w:r w:rsidR="00AA4499" w:rsidRPr="00271BFD">
        <w:rPr>
          <w:color w:val="000000"/>
        </w:rPr>
        <w:t>ам</w:t>
      </w:r>
      <w:r w:rsidRPr="00271BFD">
        <w:rPr>
          <w:color w:val="000000"/>
        </w:rPr>
        <w:t xml:space="preserve"> </w:t>
      </w:r>
      <w:r w:rsidR="00AA4499" w:rsidRPr="00271BFD">
        <w:rPr>
          <w:color w:val="000000"/>
        </w:rPr>
        <w:t xml:space="preserve">участвующем </w:t>
      </w:r>
      <w:r w:rsidRPr="00271BFD">
        <w:rPr>
          <w:color w:val="000000"/>
        </w:rPr>
        <w:t xml:space="preserve">в исследовании </w:t>
      </w:r>
      <w:r w:rsidR="00D47842">
        <w:rPr>
          <w:color w:val="000000"/>
        </w:rPr>
        <w:t xml:space="preserve">проведено </w:t>
      </w:r>
      <w:r w:rsidR="00D47842" w:rsidRPr="00271BFD">
        <w:rPr>
          <w:color w:val="000000"/>
        </w:rPr>
        <w:t>расширение</w:t>
      </w:r>
      <w:r w:rsidRPr="00271BFD">
        <w:rPr>
          <w:color w:val="000000"/>
        </w:rPr>
        <w:t xml:space="preserve"> верхней челюсти различными метод</w:t>
      </w:r>
      <w:r w:rsidR="00D47842">
        <w:rPr>
          <w:color w:val="000000"/>
        </w:rPr>
        <w:t>ами</w:t>
      </w:r>
      <w:r w:rsidRPr="00271BFD">
        <w:rPr>
          <w:color w:val="000000"/>
        </w:rPr>
        <w:t xml:space="preserve">. Пациенты </w:t>
      </w:r>
      <w:r w:rsidR="00AA4499" w:rsidRPr="00271BFD">
        <w:rPr>
          <w:color w:val="000000"/>
          <w:lang w:val="en-US"/>
        </w:rPr>
        <w:t>I</w:t>
      </w:r>
      <w:r w:rsidRPr="00271BFD">
        <w:rPr>
          <w:color w:val="000000"/>
        </w:rPr>
        <w:t>-</w:t>
      </w:r>
      <w:r w:rsidR="00AA4499" w:rsidRPr="00271BFD">
        <w:rPr>
          <w:color w:val="000000"/>
        </w:rPr>
        <w:t>о</w:t>
      </w:r>
      <w:r w:rsidRPr="00271BFD">
        <w:rPr>
          <w:color w:val="000000"/>
        </w:rPr>
        <w:t>й группы (</w:t>
      </w:r>
      <w:r w:rsidR="00A2460D" w:rsidRPr="00A2460D">
        <w:rPr>
          <w:color w:val="000000"/>
        </w:rPr>
        <w:t>4</w:t>
      </w:r>
      <w:r w:rsidR="00EB4488" w:rsidRPr="00271BFD">
        <w:rPr>
          <w:color w:val="000000"/>
        </w:rPr>
        <w:t>0</w:t>
      </w:r>
      <w:r w:rsidRPr="00271BFD">
        <w:rPr>
          <w:color w:val="000000"/>
        </w:rPr>
        <w:t xml:space="preserve"> человек)- проведен</w:t>
      </w:r>
      <w:r w:rsidR="00D47842">
        <w:rPr>
          <w:color w:val="000000"/>
        </w:rPr>
        <w:t>а</w:t>
      </w:r>
      <w:r w:rsidRPr="00271BFD">
        <w:rPr>
          <w:color w:val="000000"/>
        </w:rPr>
        <w:t xml:space="preserve"> </w:t>
      </w:r>
      <w:r w:rsidR="00F8137A" w:rsidRPr="00271BFD">
        <w:rPr>
          <w:color w:val="000000"/>
        </w:rPr>
        <w:t xml:space="preserve">остеотомия верхней челюсти по Ле-Фор 1 и срединно-небному шву с фиксацией небного дистракционного аппарата </w:t>
      </w:r>
      <w:r w:rsidRPr="00271BFD">
        <w:rPr>
          <w:color w:val="000000"/>
        </w:rPr>
        <w:t>(SARME)</w:t>
      </w:r>
      <w:r w:rsidR="00D47842">
        <w:rPr>
          <w:color w:val="000000"/>
        </w:rPr>
        <w:t xml:space="preserve">. </w:t>
      </w:r>
      <w:r w:rsidR="00AA4499" w:rsidRPr="00271BFD">
        <w:rPr>
          <w:color w:val="000000"/>
          <w:lang w:val="en-US"/>
        </w:rPr>
        <w:t>II</w:t>
      </w:r>
      <w:r w:rsidRPr="00271BFD">
        <w:rPr>
          <w:color w:val="000000"/>
        </w:rPr>
        <w:t>-</w:t>
      </w:r>
      <w:r w:rsidR="00AA4499" w:rsidRPr="00271BFD">
        <w:rPr>
          <w:color w:val="000000"/>
        </w:rPr>
        <w:t>о</w:t>
      </w:r>
      <w:r w:rsidRPr="00271BFD">
        <w:rPr>
          <w:color w:val="000000"/>
        </w:rPr>
        <w:t>й групп</w:t>
      </w:r>
      <w:r w:rsidR="00D47842">
        <w:rPr>
          <w:color w:val="000000"/>
        </w:rPr>
        <w:t>е</w:t>
      </w:r>
      <w:r w:rsidRPr="00271BFD">
        <w:rPr>
          <w:color w:val="000000"/>
        </w:rPr>
        <w:t xml:space="preserve"> (</w:t>
      </w:r>
      <w:r w:rsidR="00A2460D" w:rsidRPr="00A2460D">
        <w:rPr>
          <w:color w:val="000000"/>
        </w:rPr>
        <w:t>4</w:t>
      </w:r>
      <w:r w:rsidR="00AA4499" w:rsidRPr="00271BFD">
        <w:rPr>
          <w:color w:val="000000"/>
        </w:rPr>
        <w:t>0</w:t>
      </w:r>
      <w:r w:rsidRPr="00271BFD">
        <w:rPr>
          <w:color w:val="000000"/>
        </w:rPr>
        <w:t xml:space="preserve"> человек)- </w:t>
      </w:r>
      <w:r w:rsidR="00AA4499" w:rsidRPr="00271BFD">
        <w:rPr>
          <w:color w:val="000000"/>
        </w:rPr>
        <w:t>проведено</w:t>
      </w:r>
      <w:r w:rsidRPr="00271BFD">
        <w:rPr>
          <w:color w:val="000000"/>
        </w:rPr>
        <w:t xml:space="preserve"> быстрое небное расширение с опорой на ми</w:t>
      </w:r>
      <w:r w:rsidR="00AA4499" w:rsidRPr="00271BFD">
        <w:rPr>
          <w:color w:val="000000"/>
        </w:rPr>
        <w:t>ни</w:t>
      </w:r>
      <w:r w:rsidRPr="00271BFD">
        <w:rPr>
          <w:color w:val="000000"/>
        </w:rPr>
        <w:t>-имплант</w:t>
      </w:r>
      <w:r w:rsidR="00AA4499" w:rsidRPr="00271BFD">
        <w:rPr>
          <w:color w:val="000000"/>
        </w:rPr>
        <w:t>ы</w:t>
      </w:r>
      <w:r w:rsidRPr="00271BFD">
        <w:rPr>
          <w:color w:val="000000"/>
        </w:rPr>
        <w:t xml:space="preserve"> (MARPE), Дополнительный метод включает в себя компьютерную томографию костей лицевого скелета (томограф Philips Access CT 1.6).</w:t>
      </w:r>
    </w:p>
    <w:p w14:paraId="52F3C2A9" w14:textId="77777777" w:rsidR="00271BFD" w:rsidRDefault="00AB0740" w:rsidP="00271BFD">
      <w:pPr>
        <w:autoSpaceDE w:val="0"/>
        <w:autoSpaceDN w:val="0"/>
        <w:adjustRightInd w:val="0"/>
        <w:spacing w:after="30" w:line="480" w:lineRule="auto"/>
        <w:jc w:val="both"/>
        <w:rPr>
          <w:b/>
          <w:bCs/>
          <w:color w:val="000000"/>
        </w:rPr>
      </w:pPr>
      <w:r w:rsidRPr="00271BFD">
        <w:rPr>
          <w:b/>
          <w:bCs/>
          <w:color w:val="000000"/>
        </w:rPr>
        <w:t xml:space="preserve">Результаты  </w:t>
      </w:r>
    </w:p>
    <w:p w14:paraId="7BB4D2A2" w14:textId="728DCEFA" w:rsidR="00271BFD" w:rsidRPr="008A35FE" w:rsidRDefault="00271BFD" w:rsidP="00271BFD">
      <w:pPr>
        <w:spacing w:line="480" w:lineRule="auto"/>
        <w:jc w:val="both"/>
        <w:rPr>
          <w:color w:val="000000" w:themeColor="text1"/>
        </w:rPr>
      </w:pPr>
      <w:r w:rsidRPr="00271BFD">
        <w:rPr>
          <w:color w:val="000000" w:themeColor="text1"/>
        </w:rPr>
        <w:t>Дистракция после остеотомии срединно-небного шва составляла 100% (</w:t>
      </w:r>
      <w:r w:rsidR="007C030A" w:rsidRPr="007C030A">
        <w:rPr>
          <w:color w:val="000000" w:themeColor="text1"/>
        </w:rPr>
        <w:t>4</w:t>
      </w:r>
      <w:r w:rsidRPr="00271BFD">
        <w:rPr>
          <w:color w:val="000000" w:themeColor="text1"/>
        </w:rPr>
        <w:t>0/</w:t>
      </w:r>
      <w:r w:rsidR="007C030A" w:rsidRPr="007C030A">
        <w:rPr>
          <w:color w:val="000000" w:themeColor="text1"/>
        </w:rPr>
        <w:t>4</w:t>
      </w:r>
      <w:r w:rsidRPr="00271BFD">
        <w:rPr>
          <w:color w:val="000000" w:themeColor="text1"/>
        </w:rPr>
        <w:t xml:space="preserve">0) в группе </w:t>
      </w:r>
      <w:r w:rsidRPr="00271BFD">
        <w:rPr>
          <w:color w:val="000000" w:themeColor="text1"/>
          <w:lang w:val="en-US"/>
        </w:rPr>
        <w:t>SARPE</w:t>
      </w:r>
      <w:r w:rsidRPr="00271BFD">
        <w:rPr>
          <w:color w:val="000000" w:themeColor="text1"/>
        </w:rPr>
        <w:t>/</w:t>
      </w:r>
      <w:r w:rsidRPr="00271BFD">
        <w:rPr>
          <w:color w:val="000000" w:themeColor="text1"/>
          <w:lang w:val="en-US"/>
        </w:rPr>
        <w:t>DOME</w:t>
      </w:r>
      <w:r w:rsidRPr="00271BFD">
        <w:rPr>
          <w:color w:val="000000" w:themeColor="text1"/>
        </w:rPr>
        <w:t xml:space="preserve"> и </w:t>
      </w:r>
      <w:r w:rsidR="007C030A" w:rsidRPr="007C030A">
        <w:rPr>
          <w:color w:val="000000" w:themeColor="text1"/>
        </w:rPr>
        <w:t>77,5</w:t>
      </w:r>
      <w:r w:rsidRPr="00271BFD">
        <w:rPr>
          <w:color w:val="000000" w:themeColor="text1"/>
        </w:rPr>
        <w:t>% (</w:t>
      </w:r>
      <w:r w:rsidR="007C030A" w:rsidRPr="007C030A">
        <w:rPr>
          <w:color w:val="000000" w:themeColor="text1"/>
        </w:rPr>
        <w:t>3</w:t>
      </w:r>
      <w:r w:rsidRPr="00271BFD">
        <w:rPr>
          <w:color w:val="000000" w:themeColor="text1"/>
        </w:rPr>
        <w:t>1/</w:t>
      </w:r>
      <w:r w:rsidR="007C030A" w:rsidRPr="007C030A">
        <w:rPr>
          <w:color w:val="000000" w:themeColor="text1"/>
        </w:rPr>
        <w:t>4</w:t>
      </w:r>
      <w:r w:rsidRPr="00271BFD">
        <w:rPr>
          <w:color w:val="000000" w:themeColor="text1"/>
        </w:rPr>
        <w:t xml:space="preserve">0) для группы MARPE без остеотомии, соответственно. Произошло увеличение в области в </w:t>
      </w:r>
      <w:r w:rsidRPr="00271BFD">
        <w:rPr>
          <w:color w:val="000000" w:themeColor="text1"/>
          <w:lang w:val="en-US"/>
        </w:rPr>
        <w:t>ZMS</w:t>
      </w:r>
      <w:r w:rsidRPr="00271BFD">
        <w:rPr>
          <w:color w:val="000000" w:themeColor="text1"/>
        </w:rPr>
        <w:t xml:space="preserve">, </w:t>
      </w:r>
      <w:r w:rsidRPr="00271BFD">
        <w:rPr>
          <w:color w:val="000000" w:themeColor="text1"/>
          <w:lang w:val="en-US"/>
        </w:rPr>
        <w:t>FZS</w:t>
      </w:r>
      <w:r w:rsidRPr="00271BFD">
        <w:rPr>
          <w:color w:val="000000" w:themeColor="text1"/>
        </w:rPr>
        <w:t xml:space="preserve"> в группе </w:t>
      </w:r>
      <w:r w:rsidRPr="00271BFD">
        <w:rPr>
          <w:color w:val="000000" w:themeColor="text1"/>
          <w:lang w:val="en-US"/>
        </w:rPr>
        <w:t>MARPE</w:t>
      </w:r>
      <w:r w:rsidRPr="00271BFD">
        <w:rPr>
          <w:color w:val="000000" w:themeColor="text1"/>
        </w:rPr>
        <w:t xml:space="preserve">, в группе </w:t>
      </w:r>
      <w:r w:rsidRPr="00271BFD">
        <w:rPr>
          <w:color w:val="000000" w:themeColor="text1"/>
          <w:lang w:val="en-US"/>
        </w:rPr>
        <w:t>SARPE</w:t>
      </w:r>
      <w:r w:rsidRPr="00271BFD">
        <w:rPr>
          <w:color w:val="000000" w:themeColor="text1"/>
        </w:rPr>
        <w:t>/</w:t>
      </w:r>
      <w:r w:rsidRPr="00271BFD">
        <w:rPr>
          <w:color w:val="000000" w:themeColor="text1"/>
          <w:lang w:val="en-US"/>
        </w:rPr>
        <w:t>DOME</w:t>
      </w:r>
      <w:r w:rsidRPr="00271BFD">
        <w:rPr>
          <w:color w:val="000000" w:themeColor="text1"/>
        </w:rPr>
        <w:t xml:space="preserve"> без изменений. Группа </w:t>
      </w:r>
      <w:r w:rsidRPr="00271BFD">
        <w:rPr>
          <w:color w:val="000000" w:themeColor="text1"/>
          <w:lang w:val="en-US"/>
        </w:rPr>
        <w:t>MARPE</w:t>
      </w:r>
      <w:r w:rsidRPr="00271BFD">
        <w:rPr>
          <w:color w:val="000000" w:themeColor="text1"/>
        </w:rPr>
        <w:t xml:space="preserve"> показала большие дентоальвеолярные изменения в сравнении с группой </w:t>
      </w:r>
      <w:r w:rsidRPr="00271BFD">
        <w:rPr>
          <w:color w:val="000000" w:themeColor="text1"/>
          <w:lang w:val="en-US"/>
        </w:rPr>
        <w:t>SARPE</w:t>
      </w:r>
      <w:r w:rsidRPr="00271BFD">
        <w:rPr>
          <w:color w:val="000000" w:themeColor="text1"/>
        </w:rPr>
        <w:t xml:space="preserve">, за исключением ширины верхней челюсти. </w:t>
      </w:r>
      <w:r w:rsidRPr="00271BFD">
        <w:rPr>
          <w:color w:val="000000" w:themeColor="text1"/>
          <w:lang w:val="en-US"/>
        </w:rPr>
        <w:t>SARPE</w:t>
      </w:r>
      <w:r w:rsidRPr="00271BFD">
        <w:rPr>
          <w:color w:val="000000" w:themeColor="text1"/>
        </w:rPr>
        <w:t xml:space="preserve"> показала лучшее скелетное расширение по сравнению с группой </w:t>
      </w:r>
      <w:r w:rsidRPr="00271BFD">
        <w:rPr>
          <w:color w:val="000000" w:themeColor="text1"/>
          <w:lang w:val="en-US"/>
        </w:rPr>
        <w:t>MARPE</w:t>
      </w:r>
      <w:r w:rsidRPr="00271BFD">
        <w:rPr>
          <w:color w:val="000000" w:themeColor="text1"/>
        </w:rPr>
        <w:t>.</w:t>
      </w:r>
    </w:p>
    <w:p w14:paraId="490931A0" w14:textId="54DD9040" w:rsidR="00AB0740" w:rsidRPr="00271BFD" w:rsidRDefault="00271BFD" w:rsidP="00271BFD">
      <w:pPr>
        <w:autoSpaceDE w:val="0"/>
        <w:autoSpaceDN w:val="0"/>
        <w:adjustRightInd w:val="0"/>
        <w:spacing w:after="30" w:line="480" w:lineRule="auto"/>
        <w:jc w:val="both"/>
        <w:rPr>
          <w:color w:val="000000"/>
        </w:rPr>
      </w:pPr>
      <w:r>
        <w:rPr>
          <w:b/>
          <w:bCs/>
          <w:color w:val="000000"/>
        </w:rPr>
        <w:t>В</w:t>
      </w:r>
      <w:r w:rsidR="00AB0740" w:rsidRPr="00271BFD">
        <w:rPr>
          <w:b/>
          <w:bCs/>
          <w:color w:val="000000"/>
        </w:rPr>
        <w:t>ыводы</w:t>
      </w:r>
      <w:r w:rsidR="00AB0740" w:rsidRPr="00271BFD">
        <w:rPr>
          <w:color w:val="000000"/>
        </w:rPr>
        <w:t xml:space="preserve"> </w:t>
      </w:r>
    </w:p>
    <w:p w14:paraId="21375F29" w14:textId="097CE4FC" w:rsidR="00AB0740" w:rsidRPr="00271BFD" w:rsidRDefault="00AB0740" w:rsidP="00271BFD">
      <w:pPr>
        <w:autoSpaceDE w:val="0"/>
        <w:autoSpaceDN w:val="0"/>
        <w:adjustRightInd w:val="0"/>
        <w:spacing w:after="30" w:line="480" w:lineRule="auto"/>
        <w:jc w:val="both"/>
        <w:rPr>
          <w:color w:val="000000"/>
        </w:rPr>
      </w:pPr>
      <w:r w:rsidRPr="00271BFD">
        <w:rPr>
          <w:color w:val="000000"/>
        </w:rPr>
        <w:t>Таким образом, первоначальные исследования свидетельствуют о том, что</w:t>
      </w:r>
      <w:r w:rsidR="00FC15F8" w:rsidRPr="00271BFD">
        <w:rPr>
          <w:color w:val="000000"/>
        </w:rPr>
        <w:t xml:space="preserve"> у пациентов с завершенным формированием оссификации срединно-небного </w:t>
      </w:r>
      <w:r w:rsidR="00AA4499" w:rsidRPr="00271BFD">
        <w:rPr>
          <w:color w:val="000000"/>
        </w:rPr>
        <w:t>шва,</w:t>
      </w:r>
      <w:r w:rsidRPr="00271BFD">
        <w:rPr>
          <w:color w:val="000000"/>
        </w:rPr>
        <w:t xml:space="preserve"> наиболее эффективным методом расширения верхней челюсти</w:t>
      </w:r>
      <w:r w:rsidR="00AA4499" w:rsidRPr="00271BFD">
        <w:rPr>
          <w:color w:val="000000"/>
        </w:rPr>
        <w:t xml:space="preserve">, является </w:t>
      </w:r>
      <w:r w:rsidR="00EB4488" w:rsidRPr="00271BFD">
        <w:rPr>
          <w:color w:val="000000"/>
        </w:rPr>
        <w:t xml:space="preserve">остеотомия верхней челюсти по Ле-Фор 1 и срединно-небному шву с фиксацией небного дистракционного аппарата </w:t>
      </w:r>
      <w:r w:rsidRPr="00271BFD">
        <w:rPr>
          <w:color w:val="000000"/>
        </w:rPr>
        <w:t xml:space="preserve">(SARME). Применяемая методика </w:t>
      </w:r>
      <w:r w:rsidRPr="00271BFD">
        <w:rPr>
          <w:color w:val="000000"/>
        </w:rPr>
        <w:lastRenderedPageBreak/>
        <w:t>характеризуется более предсказуемым и стабильным результатом в отличии от остальных методов расширения верхней челюсти.</w:t>
      </w:r>
    </w:p>
    <w:p w14:paraId="644A6F00" w14:textId="77777777" w:rsidR="00AB0740" w:rsidRPr="00271BFD" w:rsidRDefault="00AB0740" w:rsidP="00271BFD">
      <w:pPr>
        <w:autoSpaceDE w:val="0"/>
        <w:autoSpaceDN w:val="0"/>
        <w:adjustRightInd w:val="0"/>
        <w:spacing w:after="30" w:line="480" w:lineRule="auto"/>
        <w:jc w:val="both"/>
        <w:rPr>
          <w:b/>
          <w:bCs/>
          <w:color w:val="000000"/>
        </w:rPr>
      </w:pPr>
      <w:r w:rsidRPr="00271BFD">
        <w:rPr>
          <w:b/>
          <w:bCs/>
          <w:color w:val="000000"/>
        </w:rPr>
        <w:t>Литература:</w:t>
      </w:r>
    </w:p>
    <w:p w14:paraId="5E560900" w14:textId="1C770054" w:rsidR="00AB0740" w:rsidRPr="00271BFD" w:rsidRDefault="00AB0740" w:rsidP="00271BFD">
      <w:pPr>
        <w:pStyle w:val="a6"/>
        <w:spacing w:before="0" w:beforeAutospacing="0" w:after="312" w:afterAutospacing="0" w:line="480" w:lineRule="auto"/>
        <w:rPr>
          <w:color w:val="333333"/>
        </w:rPr>
      </w:pPr>
      <w:r w:rsidRPr="00271BFD">
        <w:rPr>
          <w:color w:val="000000"/>
        </w:rPr>
        <w:t>1.</w:t>
      </w:r>
      <w:r w:rsidR="006F2200" w:rsidRPr="00271BFD">
        <w:rPr>
          <w:rFonts w:ascii="PT Sans" w:hAnsi="PT Sans"/>
          <w:color w:val="333333"/>
        </w:rPr>
        <w:t xml:space="preserve"> </w:t>
      </w:r>
      <w:r w:rsidR="006F2200" w:rsidRPr="00271BFD">
        <w:rPr>
          <w:color w:val="000000" w:themeColor="text1"/>
        </w:rPr>
        <w:t>Арсенина, О.И. Комплексная диагностика и лечение пациентов с сужением и деформацией верхней челюсти / О.И.Арсенина, Н.В.Попова, П.И.Махортова, Л.А.Гайрбекова // Клиническая стоматология. - 2019. - №1(89). - С. 51-57.</w:t>
      </w:r>
    </w:p>
    <w:p w14:paraId="48B40EBF" w14:textId="20E3C652" w:rsidR="00577A64" w:rsidRPr="00271BFD" w:rsidRDefault="00AB0740" w:rsidP="00271BFD">
      <w:pPr>
        <w:autoSpaceDE w:val="0"/>
        <w:autoSpaceDN w:val="0"/>
        <w:adjustRightInd w:val="0"/>
        <w:spacing w:after="240" w:line="480" w:lineRule="auto"/>
        <w:rPr>
          <w:color w:val="000000"/>
          <w:lang w:val="en-US"/>
        </w:rPr>
      </w:pPr>
      <w:r w:rsidRPr="00271BFD">
        <w:rPr>
          <w:color w:val="000000"/>
          <w:lang w:val="en-US"/>
        </w:rPr>
        <w:t>2. Haichao Jia, Li Zhuang, Nan Zhang, Yuanyuan Bian. Comparison of skeletal maxillary transverse deficiency treated by microimplant-assisted rapid palatal expansion and tooth-borne expansion during the post-pubertal growth spurt stage:A prospective cone beam computed tomography study(2020)//Angle Orthodontist(2021)91(1):36-54,https://doi.org/10.2319/041920-332.1</w:t>
      </w:r>
      <w:r w:rsidR="00271BFD">
        <w:rPr>
          <w:color w:val="000000"/>
          <w:lang w:val="en-US"/>
        </w:rPr>
        <w:br/>
      </w:r>
      <w:r w:rsidRPr="00271BFD">
        <w:rPr>
          <w:color w:val="000000"/>
          <w:lang w:val="en-US"/>
        </w:rPr>
        <w:t xml:space="preserve">3. </w:t>
      </w:r>
      <w:hyperlink r:id="rId7" w:history="1">
        <w:r w:rsidRPr="00271BFD">
          <w:rPr>
            <w:color w:val="000000"/>
            <w:lang w:val="en-US"/>
          </w:rPr>
          <w:t>Mahdieh Khosravi</w:t>
        </w:r>
      </w:hyperlink>
      <w:r w:rsidRPr="00271BFD">
        <w:rPr>
          <w:color w:val="000000"/>
          <w:vertAlign w:val="superscript"/>
          <w:lang w:val="en-US"/>
        </w:rPr>
        <w:t> </w:t>
      </w:r>
      <w:r w:rsidRPr="00271BFD">
        <w:rPr>
          <w:color w:val="000000"/>
          <w:lang w:val="en-US"/>
        </w:rPr>
        <w:t>, </w:t>
      </w:r>
      <w:hyperlink r:id="rId8" w:history="1">
        <w:r w:rsidRPr="00271BFD">
          <w:rPr>
            <w:color w:val="000000"/>
            <w:lang w:val="en-US"/>
          </w:rPr>
          <w:t>Alessandro Ugolini</w:t>
        </w:r>
      </w:hyperlink>
      <w:r w:rsidRPr="00271BFD">
        <w:rPr>
          <w:color w:val="000000"/>
          <w:vertAlign w:val="superscript"/>
          <w:lang w:val="en-US"/>
        </w:rPr>
        <w:t> </w:t>
      </w:r>
      <w:r w:rsidRPr="00271BFD">
        <w:rPr>
          <w:color w:val="000000"/>
          <w:lang w:val="en-US"/>
        </w:rPr>
        <w:t>, </w:t>
      </w:r>
      <w:hyperlink r:id="rId9" w:history="1">
        <w:r w:rsidRPr="00271BFD">
          <w:rPr>
            <w:color w:val="000000"/>
            <w:lang w:val="en-US"/>
          </w:rPr>
          <w:t>Amirfarhang Miresmaeili</w:t>
        </w:r>
      </w:hyperlink>
      <w:r w:rsidRPr="00271BFD">
        <w:rPr>
          <w:color w:val="000000"/>
          <w:vertAlign w:val="superscript"/>
          <w:lang w:val="en-US"/>
        </w:rPr>
        <w:t> </w:t>
      </w:r>
      <w:r w:rsidR="00EB4488" w:rsidRPr="00271BFD">
        <w:rPr>
          <w:color w:val="000000"/>
          <w:lang w:val="en-US"/>
        </w:rPr>
        <w:t>.</w:t>
      </w:r>
      <w:r w:rsidRPr="00271BFD">
        <w:rPr>
          <w:color w:val="000000"/>
          <w:lang w:val="en-US"/>
        </w:rPr>
        <w:t xml:space="preserve"> Tooth-borne versus bone-borne rapid maxillary expansion for transverse maxillary deficiency: A systematic review(2019)//International Orthodontics,Vol.17,Issue 3,https://doi.org/10.1016/j.ortho.2019.06.003</w:t>
      </w:r>
    </w:p>
    <w:p w14:paraId="0C529CA3" w14:textId="0EC939EB" w:rsidR="00AA4499" w:rsidRPr="007C030A" w:rsidRDefault="00577A64" w:rsidP="007C030A">
      <w:pPr>
        <w:autoSpaceDE w:val="0"/>
        <w:autoSpaceDN w:val="0"/>
        <w:adjustRightInd w:val="0"/>
        <w:spacing w:after="30" w:line="480" w:lineRule="auto"/>
        <w:rPr>
          <w:color w:val="000000"/>
          <w:lang w:val="en-US"/>
        </w:rPr>
      </w:pPr>
      <w:r w:rsidRPr="00271BFD">
        <w:rPr>
          <w:color w:val="000000"/>
          <w:lang w:val="en-US"/>
        </w:rPr>
        <w:t>4.</w:t>
      </w:r>
      <w:r w:rsidRPr="00271BFD">
        <w:rPr>
          <w:color w:val="212121"/>
          <w:shd w:val="clear" w:color="auto" w:fill="FFFFFF"/>
          <w:lang w:val="en-US"/>
        </w:rPr>
        <w:t xml:space="preserve"> </w:t>
      </w:r>
      <w:r w:rsidRPr="00271BFD">
        <w:rPr>
          <w:color w:val="000000" w:themeColor="text1"/>
          <w:shd w:val="clear" w:color="auto" w:fill="FFFFFF"/>
          <w:lang w:val="en-US"/>
        </w:rPr>
        <w:t>A.Drobyshev, I.Klipa, N.Drobysheva, N.Ilina, I.Zhmyrko. Surgically assisted rapid maxillary expansion:Retrospective analysis of complications 2012-2017(2021)//Georgian Med.News;(311):58-62,PMID:33814392.</w:t>
      </w:r>
    </w:p>
    <w:sectPr w:rsidR="00AA4499" w:rsidRPr="007C030A" w:rsidSect="00EB4488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B4FC7" w14:textId="77777777" w:rsidR="00256CDF" w:rsidRDefault="00256CDF" w:rsidP="008A35FE">
      <w:r>
        <w:separator/>
      </w:r>
    </w:p>
  </w:endnote>
  <w:endnote w:type="continuationSeparator" w:id="0">
    <w:p w14:paraId="2227B487" w14:textId="77777777" w:rsidR="00256CDF" w:rsidRDefault="00256CDF" w:rsidP="008A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3C08C" w14:textId="77777777" w:rsidR="00256CDF" w:rsidRDefault="00256CDF" w:rsidP="008A35FE">
      <w:r>
        <w:separator/>
      </w:r>
    </w:p>
  </w:footnote>
  <w:footnote w:type="continuationSeparator" w:id="0">
    <w:p w14:paraId="223DACFC" w14:textId="77777777" w:rsidR="00256CDF" w:rsidRDefault="00256CDF" w:rsidP="008A3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F4093"/>
    <w:multiLevelType w:val="hybridMultilevel"/>
    <w:tmpl w:val="C494D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E777660"/>
    <w:multiLevelType w:val="hybridMultilevel"/>
    <w:tmpl w:val="4C920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932154"/>
    <w:multiLevelType w:val="hybridMultilevel"/>
    <w:tmpl w:val="312E3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408"/>
    <w:rsid w:val="00024232"/>
    <w:rsid w:val="000C65F5"/>
    <w:rsid w:val="000E24B0"/>
    <w:rsid w:val="00112750"/>
    <w:rsid w:val="00161F5A"/>
    <w:rsid w:val="00180AAC"/>
    <w:rsid w:val="0018222F"/>
    <w:rsid w:val="0019302D"/>
    <w:rsid w:val="001A2852"/>
    <w:rsid w:val="001A32D2"/>
    <w:rsid w:val="001E1478"/>
    <w:rsid w:val="00232030"/>
    <w:rsid w:val="002434BE"/>
    <w:rsid w:val="00256CDF"/>
    <w:rsid w:val="00271BFD"/>
    <w:rsid w:val="00273910"/>
    <w:rsid w:val="00284A65"/>
    <w:rsid w:val="002A5B86"/>
    <w:rsid w:val="002B4984"/>
    <w:rsid w:val="002E78A2"/>
    <w:rsid w:val="00352822"/>
    <w:rsid w:val="00353EBA"/>
    <w:rsid w:val="00356A92"/>
    <w:rsid w:val="00394561"/>
    <w:rsid w:val="003F5BC1"/>
    <w:rsid w:val="00427C91"/>
    <w:rsid w:val="00430063"/>
    <w:rsid w:val="00434119"/>
    <w:rsid w:val="00435F09"/>
    <w:rsid w:val="00482D81"/>
    <w:rsid w:val="004D3921"/>
    <w:rsid w:val="00542C8E"/>
    <w:rsid w:val="00573D14"/>
    <w:rsid w:val="00577A64"/>
    <w:rsid w:val="0059550D"/>
    <w:rsid w:val="005A2E0D"/>
    <w:rsid w:val="005A366F"/>
    <w:rsid w:val="0060194A"/>
    <w:rsid w:val="00645408"/>
    <w:rsid w:val="00664260"/>
    <w:rsid w:val="006A223E"/>
    <w:rsid w:val="006B329E"/>
    <w:rsid w:val="006C2798"/>
    <w:rsid w:val="006F2200"/>
    <w:rsid w:val="007205F4"/>
    <w:rsid w:val="00735EEE"/>
    <w:rsid w:val="007506ED"/>
    <w:rsid w:val="007B2BA5"/>
    <w:rsid w:val="007C030A"/>
    <w:rsid w:val="00822578"/>
    <w:rsid w:val="00883DC6"/>
    <w:rsid w:val="00884C70"/>
    <w:rsid w:val="008A34EC"/>
    <w:rsid w:val="008A35FE"/>
    <w:rsid w:val="008D10C1"/>
    <w:rsid w:val="008D687B"/>
    <w:rsid w:val="008E3444"/>
    <w:rsid w:val="00901FB4"/>
    <w:rsid w:val="0090513B"/>
    <w:rsid w:val="009235FF"/>
    <w:rsid w:val="009B12F7"/>
    <w:rsid w:val="009D38DC"/>
    <w:rsid w:val="009D6D7D"/>
    <w:rsid w:val="00A2460D"/>
    <w:rsid w:val="00A45950"/>
    <w:rsid w:val="00A5643A"/>
    <w:rsid w:val="00A616CC"/>
    <w:rsid w:val="00AA4499"/>
    <w:rsid w:val="00AB0740"/>
    <w:rsid w:val="00AB7901"/>
    <w:rsid w:val="00B1477C"/>
    <w:rsid w:val="00B23BD9"/>
    <w:rsid w:val="00B5493A"/>
    <w:rsid w:val="00B56EAE"/>
    <w:rsid w:val="00BD2BE0"/>
    <w:rsid w:val="00BF3B75"/>
    <w:rsid w:val="00C00FAC"/>
    <w:rsid w:val="00CC2018"/>
    <w:rsid w:val="00CF0DD2"/>
    <w:rsid w:val="00CF2946"/>
    <w:rsid w:val="00D119FC"/>
    <w:rsid w:val="00D35DA7"/>
    <w:rsid w:val="00D47842"/>
    <w:rsid w:val="00D532F3"/>
    <w:rsid w:val="00DA3DFB"/>
    <w:rsid w:val="00DB19D4"/>
    <w:rsid w:val="00DE6B78"/>
    <w:rsid w:val="00DE6FCB"/>
    <w:rsid w:val="00E14669"/>
    <w:rsid w:val="00E94627"/>
    <w:rsid w:val="00EB4488"/>
    <w:rsid w:val="00EB7FFA"/>
    <w:rsid w:val="00EC7F24"/>
    <w:rsid w:val="00ED7412"/>
    <w:rsid w:val="00EE3876"/>
    <w:rsid w:val="00EF3BF0"/>
    <w:rsid w:val="00F16CB9"/>
    <w:rsid w:val="00F3759F"/>
    <w:rsid w:val="00F8137A"/>
    <w:rsid w:val="00FC15F8"/>
    <w:rsid w:val="00FC42A5"/>
    <w:rsid w:val="00FE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E22C0"/>
  <w15:chartTrackingRefBased/>
  <w15:docId w15:val="{1DEEA5E7-B0CD-46B8-A196-533D38C1A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2E0D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A2E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91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2434BE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2434BE"/>
    <w:rPr>
      <w:color w:val="605E5C"/>
      <w:shd w:val="clear" w:color="auto" w:fill="E1DFDD"/>
    </w:rPr>
  </w:style>
  <w:style w:type="paragraph" w:customStyle="1" w:styleId="Default">
    <w:name w:val="Default"/>
    <w:rsid w:val="008E34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7205F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205F4"/>
  </w:style>
  <w:style w:type="character" w:customStyle="1" w:styleId="20">
    <w:name w:val="Заголовок 2 Знак"/>
    <w:basedOn w:val="a0"/>
    <w:link w:val="2"/>
    <w:uiPriority w:val="9"/>
    <w:rsid w:val="005A2E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given-name">
    <w:name w:val="given-name"/>
    <w:basedOn w:val="a0"/>
    <w:rsid w:val="005A2E0D"/>
  </w:style>
  <w:style w:type="character" w:customStyle="1" w:styleId="text">
    <w:name w:val="text"/>
    <w:basedOn w:val="a0"/>
    <w:rsid w:val="005A2E0D"/>
  </w:style>
  <w:style w:type="character" w:customStyle="1" w:styleId="anchor-text">
    <w:name w:val="anchor-text"/>
    <w:basedOn w:val="a0"/>
    <w:rsid w:val="005A2E0D"/>
  </w:style>
  <w:style w:type="character" w:customStyle="1" w:styleId="10">
    <w:name w:val="Заголовок 1 Знак"/>
    <w:basedOn w:val="a0"/>
    <w:link w:val="1"/>
    <w:uiPriority w:val="9"/>
    <w:rsid w:val="005A2E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uthors-list-item">
    <w:name w:val="authors-list-item"/>
    <w:basedOn w:val="a0"/>
    <w:rsid w:val="005A2E0D"/>
  </w:style>
  <w:style w:type="character" w:customStyle="1" w:styleId="author-sup-separator">
    <w:name w:val="author-sup-separator"/>
    <w:basedOn w:val="a0"/>
    <w:rsid w:val="005A2E0D"/>
  </w:style>
  <w:style w:type="character" w:customStyle="1" w:styleId="comma">
    <w:name w:val="comma"/>
    <w:basedOn w:val="a0"/>
    <w:rsid w:val="005A2E0D"/>
  </w:style>
  <w:style w:type="character" w:styleId="a7">
    <w:name w:val="Emphasis"/>
    <w:basedOn w:val="a0"/>
    <w:uiPriority w:val="20"/>
    <w:qFormat/>
    <w:rsid w:val="005A2E0D"/>
    <w:rPr>
      <w:i/>
      <w:iCs/>
    </w:rPr>
  </w:style>
  <w:style w:type="paragraph" w:styleId="a8">
    <w:name w:val="header"/>
    <w:basedOn w:val="a"/>
    <w:link w:val="a9"/>
    <w:uiPriority w:val="99"/>
    <w:unhideWhenUsed/>
    <w:rsid w:val="008A35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35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A35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35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8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med.ncbi.nlm.nih.gov/?term=Ugolini+A&amp;cauthor_id=3128099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ubmed.ncbi.nlm.nih.gov/?term=Khosravi+M&amp;cauthor_id=312809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ubmed.ncbi.nlm.nih.gov/?term=Miresmaeili+A&amp;cauthor_id=312809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голомзадин</dc:creator>
  <cp:keywords/>
  <dc:description/>
  <cp:lastModifiedBy>Челюстно-лицевой хирург</cp:lastModifiedBy>
  <cp:revision>13</cp:revision>
  <cp:lastPrinted>2025-04-17T10:20:00Z</cp:lastPrinted>
  <dcterms:created xsi:type="dcterms:W3CDTF">2023-10-15T15:00:00Z</dcterms:created>
  <dcterms:modified xsi:type="dcterms:W3CDTF">2025-04-17T10:30:00Z</dcterms:modified>
</cp:coreProperties>
</file>